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CDE" w:rsidRPr="00213CDE" w:rsidRDefault="00213CDE" w:rsidP="00213CDE">
      <w:pPr>
        <w:pStyle w:val="a7"/>
        <w:shd w:val="clear" w:color="auto" w:fill="FFFFFF"/>
        <w:spacing w:before="60" w:beforeAutospacing="0" w:after="0" w:afterAutospacing="0" w:line="405" w:lineRule="atLeast"/>
        <w:ind w:firstLine="567"/>
        <w:jc w:val="center"/>
        <w:textAlignment w:val="baseline"/>
        <w:rPr>
          <w:b/>
          <w:bCs/>
          <w:color w:val="1D1D1B"/>
          <w:sz w:val="28"/>
          <w:szCs w:val="28"/>
        </w:rPr>
      </w:pPr>
      <w:r w:rsidRPr="00213CDE">
        <w:rPr>
          <w:color w:val="1D1D1B"/>
          <w:sz w:val="28"/>
          <w:szCs w:val="28"/>
          <w:bdr w:val="none" w:sz="0" w:space="0" w:color="auto" w:frame="1"/>
        </w:rPr>
        <w:t>ПЕРЕЛІК</w:t>
      </w:r>
      <w:r w:rsidRPr="00213CDE">
        <w:rPr>
          <w:color w:val="1D1D1B"/>
          <w:sz w:val="28"/>
          <w:szCs w:val="28"/>
          <w:bdr w:val="none" w:sz="0" w:space="0" w:color="auto" w:frame="1"/>
        </w:rPr>
        <w:br/>
        <w:t>об’єктів, що можуть спричинити виникнення надзвичайної</w:t>
      </w:r>
      <w:r w:rsidRPr="00213CDE">
        <w:rPr>
          <w:color w:val="1D1D1B"/>
          <w:sz w:val="28"/>
          <w:szCs w:val="28"/>
          <w:bdr w:val="none" w:sz="0" w:space="0" w:color="auto" w:frame="1"/>
        </w:rPr>
        <w:br/>
        <w:t>ситуації техногенного і природного характеру</w:t>
      </w:r>
      <w:r w:rsidRPr="00213CDE">
        <w:rPr>
          <w:color w:val="1D1D1B"/>
          <w:sz w:val="28"/>
          <w:szCs w:val="28"/>
          <w:bdr w:val="none" w:sz="0" w:space="0" w:color="auto" w:frame="1"/>
        </w:rPr>
        <w:br/>
        <w:t>та вплинути на стан захисту населення і територій,</w:t>
      </w:r>
      <w:r w:rsidRPr="00213CDE">
        <w:rPr>
          <w:color w:val="1D1D1B"/>
          <w:sz w:val="28"/>
          <w:szCs w:val="28"/>
          <w:bdr w:val="none" w:sz="0" w:space="0" w:color="auto" w:frame="1"/>
        </w:rPr>
        <w:br/>
        <w:t> проекти будівництва яких підлягають державній</w:t>
      </w:r>
      <w:r w:rsidRPr="00213CDE">
        <w:rPr>
          <w:color w:val="1D1D1B"/>
          <w:sz w:val="28"/>
          <w:szCs w:val="28"/>
          <w:bdr w:val="none" w:sz="0" w:space="0" w:color="auto" w:frame="1"/>
        </w:rPr>
        <w:br/>
        <w:t> експертизі з питань техногенної безпеки</w:t>
      </w:r>
      <w:r w:rsidRPr="00213CDE">
        <w:rPr>
          <w:color w:val="1D1D1B"/>
          <w:sz w:val="28"/>
          <w:szCs w:val="28"/>
          <w:bdr w:val="none" w:sz="0" w:space="0" w:color="auto" w:frame="1"/>
        </w:rPr>
        <w:br/>
      </w:r>
      <w:r w:rsidRPr="00213CDE">
        <w:rPr>
          <w:color w:val="1D1D1B"/>
          <w:sz w:val="28"/>
          <w:szCs w:val="28"/>
          <w:bdr w:val="none" w:sz="0" w:space="0" w:color="auto" w:frame="1"/>
        </w:rPr>
        <w:br/>
        <w:t>Об’єкти біохімічного, біологічного і фармацевтичного виробництва</w:t>
      </w:r>
    </w:p>
    <w:p w:rsidR="00213CDE" w:rsidRPr="00213CDE" w:rsidRDefault="00213CDE" w:rsidP="00213CDE">
      <w:pPr>
        <w:pStyle w:val="a3"/>
        <w:shd w:val="clear" w:color="auto" w:fill="FFFFFF"/>
        <w:spacing w:before="60" w:beforeAutospacing="0" w:after="0" w:afterAutospacing="0" w:line="405" w:lineRule="atLeast"/>
        <w:ind w:firstLine="567"/>
        <w:jc w:val="both"/>
        <w:textAlignment w:val="baseline"/>
        <w:rPr>
          <w:color w:val="1D1D1B"/>
          <w:sz w:val="28"/>
          <w:szCs w:val="28"/>
        </w:rPr>
      </w:pPr>
      <w:r w:rsidRPr="00213CDE">
        <w:rPr>
          <w:color w:val="1D1D1B"/>
          <w:sz w:val="28"/>
          <w:szCs w:val="28"/>
          <w:bdr w:val="none" w:sz="0" w:space="0" w:color="auto" w:frame="1"/>
        </w:rPr>
        <w:t>Об’єкти збирання, оброблення, зберігання, захоронення, знешкодження та утилізації токсичних відходів</w:t>
      </w:r>
    </w:p>
    <w:p w:rsidR="00213CDE" w:rsidRPr="00213CDE" w:rsidRDefault="00213CDE" w:rsidP="00213CDE">
      <w:pPr>
        <w:pStyle w:val="a3"/>
        <w:shd w:val="clear" w:color="auto" w:fill="FFFFFF"/>
        <w:spacing w:before="60" w:beforeAutospacing="0" w:after="0" w:afterAutospacing="0" w:line="405" w:lineRule="atLeast"/>
        <w:ind w:firstLine="567"/>
        <w:jc w:val="both"/>
        <w:textAlignment w:val="baseline"/>
        <w:rPr>
          <w:color w:val="1D1D1B"/>
          <w:sz w:val="28"/>
          <w:szCs w:val="28"/>
        </w:rPr>
      </w:pPr>
      <w:r w:rsidRPr="00213CDE">
        <w:rPr>
          <w:color w:val="1D1D1B"/>
          <w:sz w:val="28"/>
          <w:szCs w:val="28"/>
          <w:bdr w:val="none" w:sz="0" w:space="0" w:color="auto" w:frame="1"/>
        </w:rPr>
        <w:t>Об’єкти видобування нафти, нафтохімії і нафтопереробки, нафтобази, склади нафтопродуктів, магістральні нафтопродуктопроводи, резервуарні парки та наливні станції нафтопродуктів, товарно-сировинні парки нафтопереробних заводів, сировинні парки нафтохімічних підприємств</w:t>
      </w:r>
    </w:p>
    <w:p w:rsidR="00213CDE" w:rsidRPr="00213CDE" w:rsidRDefault="00213CDE" w:rsidP="00213CDE">
      <w:pPr>
        <w:pStyle w:val="a3"/>
        <w:shd w:val="clear" w:color="auto" w:fill="FFFFFF"/>
        <w:spacing w:before="60" w:beforeAutospacing="0" w:after="0" w:afterAutospacing="0" w:line="405" w:lineRule="atLeast"/>
        <w:ind w:firstLine="567"/>
        <w:jc w:val="both"/>
        <w:textAlignment w:val="baseline"/>
        <w:rPr>
          <w:color w:val="1D1D1B"/>
          <w:sz w:val="28"/>
          <w:szCs w:val="28"/>
        </w:rPr>
      </w:pPr>
      <w:r w:rsidRPr="00213CDE">
        <w:rPr>
          <w:color w:val="1D1D1B"/>
          <w:sz w:val="28"/>
          <w:szCs w:val="28"/>
          <w:bdr w:val="none" w:sz="0" w:space="0" w:color="auto" w:frame="1"/>
        </w:rPr>
        <w:t>Об’єкти видобування, зберігання, переробки і транспортування природного, зрідженого газу, магістральні газопроводи; інші продуктопроводи, за допомогою яких транспортуються небезпечні речовини</w:t>
      </w:r>
    </w:p>
    <w:p w:rsidR="00213CDE" w:rsidRPr="00213CDE" w:rsidRDefault="00213CDE" w:rsidP="00213CDE">
      <w:pPr>
        <w:pStyle w:val="a3"/>
        <w:shd w:val="clear" w:color="auto" w:fill="FFFFFF"/>
        <w:spacing w:before="60" w:beforeAutospacing="0" w:after="0" w:afterAutospacing="0" w:line="405" w:lineRule="atLeast"/>
        <w:ind w:firstLine="567"/>
        <w:jc w:val="both"/>
        <w:textAlignment w:val="baseline"/>
        <w:rPr>
          <w:color w:val="1D1D1B"/>
          <w:sz w:val="28"/>
          <w:szCs w:val="28"/>
        </w:rPr>
      </w:pPr>
      <w:r w:rsidRPr="00213CDE">
        <w:rPr>
          <w:color w:val="1D1D1B"/>
          <w:sz w:val="28"/>
          <w:szCs w:val="28"/>
          <w:bdr w:val="none" w:sz="0" w:space="0" w:color="auto" w:frame="1"/>
        </w:rPr>
        <w:t>Хімічно небезпечні об’єкти, склади хімічно небезпечних речовин, магістральні аміакопроводи</w:t>
      </w:r>
    </w:p>
    <w:p w:rsidR="00213CDE" w:rsidRPr="00213CDE" w:rsidRDefault="00213CDE" w:rsidP="00213CDE">
      <w:pPr>
        <w:pStyle w:val="a3"/>
        <w:shd w:val="clear" w:color="auto" w:fill="FFFFFF"/>
        <w:spacing w:before="60" w:beforeAutospacing="0" w:after="0" w:afterAutospacing="0" w:line="405" w:lineRule="atLeast"/>
        <w:ind w:firstLine="567"/>
        <w:jc w:val="both"/>
        <w:textAlignment w:val="baseline"/>
        <w:rPr>
          <w:color w:val="1D1D1B"/>
          <w:sz w:val="28"/>
          <w:szCs w:val="28"/>
        </w:rPr>
      </w:pPr>
      <w:r w:rsidRPr="00213CDE">
        <w:rPr>
          <w:color w:val="1D1D1B"/>
          <w:sz w:val="28"/>
          <w:szCs w:val="28"/>
          <w:bdr w:val="none" w:sz="0" w:space="0" w:color="auto" w:frame="1"/>
        </w:rPr>
        <w:t>Об’єкти знезараження, підготовки та очищення питної води і каналізаційних стоків у системах очисних споруд; станції розподілення повітря (якщо вони належать до вибухонебезпечної категорії)</w:t>
      </w:r>
    </w:p>
    <w:p w:rsidR="00213CDE" w:rsidRPr="00213CDE" w:rsidRDefault="00213CDE" w:rsidP="00213CDE">
      <w:pPr>
        <w:pStyle w:val="a3"/>
        <w:shd w:val="clear" w:color="auto" w:fill="FFFFFF"/>
        <w:spacing w:before="60" w:beforeAutospacing="0" w:after="0" w:afterAutospacing="0" w:line="405" w:lineRule="atLeast"/>
        <w:ind w:firstLine="567"/>
        <w:jc w:val="both"/>
        <w:textAlignment w:val="baseline"/>
        <w:rPr>
          <w:color w:val="1D1D1B"/>
          <w:sz w:val="28"/>
          <w:szCs w:val="28"/>
        </w:rPr>
      </w:pPr>
      <w:r w:rsidRPr="00213CDE">
        <w:rPr>
          <w:color w:val="1D1D1B"/>
          <w:sz w:val="28"/>
          <w:szCs w:val="28"/>
          <w:bdr w:val="none" w:sz="0" w:space="0" w:color="auto" w:frame="1"/>
        </w:rPr>
        <w:t xml:space="preserve">Автозаправні станції та комплекси, газозаправні (з використанням зрідженого газу), газонаповнювальні станції та пункти, склади газу і </w:t>
      </w:r>
      <w:proofErr w:type="spellStart"/>
      <w:r w:rsidRPr="00213CDE">
        <w:rPr>
          <w:color w:val="1D1D1B"/>
          <w:sz w:val="28"/>
          <w:szCs w:val="28"/>
          <w:bdr w:val="none" w:sz="0" w:space="0" w:color="auto" w:frame="1"/>
        </w:rPr>
        <w:t>газопродуктів</w:t>
      </w:r>
      <w:proofErr w:type="spellEnd"/>
      <w:r w:rsidRPr="00213CDE">
        <w:rPr>
          <w:color w:val="1D1D1B"/>
          <w:sz w:val="28"/>
          <w:szCs w:val="28"/>
          <w:bdr w:val="none" w:sz="0" w:space="0" w:color="auto" w:frame="1"/>
        </w:rPr>
        <w:t>, газові котельні (за винятком котелень, призначених для теплопостачання житлових і громадських будинків)</w:t>
      </w:r>
    </w:p>
    <w:p w:rsidR="00213CDE" w:rsidRPr="00213CDE" w:rsidRDefault="00213CDE" w:rsidP="00213CDE">
      <w:pPr>
        <w:pStyle w:val="a3"/>
        <w:shd w:val="clear" w:color="auto" w:fill="FFFFFF"/>
        <w:spacing w:before="60" w:beforeAutospacing="0" w:after="0" w:afterAutospacing="0" w:line="405" w:lineRule="atLeast"/>
        <w:ind w:firstLine="567"/>
        <w:jc w:val="both"/>
        <w:textAlignment w:val="baseline"/>
        <w:rPr>
          <w:color w:val="1D1D1B"/>
          <w:sz w:val="28"/>
          <w:szCs w:val="28"/>
        </w:rPr>
      </w:pPr>
      <w:r w:rsidRPr="00213CDE">
        <w:rPr>
          <w:color w:val="1D1D1B"/>
          <w:sz w:val="28"/>
          <w:szCs w:val="28"/>
          <w:bdr w:val="none" w:sz="0" w:space="0" w:color="auto" w:frame="1"/>
        </w:rPr>
        <w:t xml:space="preserve">Будівлі та споруди з покрівлею площею понад 1000 кв. метрів, виготовленою з використанням </w:t>
      </w:r>
      <w:proofErr w:type="spellStart"/>
      <w:r w:rsidRPr="00213CDE">
        <w:rPr>
          <w:color w:val="1D1D1B"/>
          <w:sz w:val="28"/>
          <w:szCs w:val="28"/>
          <w:bdr w:val="none" w:sz="0" w:space="0" w:color="auto" w:frame="1"/>
        </w:rPr>
        <w:t>вантових</w:t>
      </w:r>
      <w:proofErr w:type="spellEnd"/>
      <w:r w:rsidRPr="00213CDE">
        <w:rPr>
          <w:color w:val="1D1D1B"/>
          <w:sz w:val="28"/>
          <w:szCs w:val="28"/>
          <w:bdr w:val="none" w:sz="0" w:space="0" w:color="auto" w:frame="1"/>
        </w:rPr>
        <w:t xml:space="preserve"> і аркових конструкцій</w:t>
      </w:r>
    </w:p>
    <w:p w:rsidR="00213CDE" w:rsidRPr="00213CDE" w:rsidRDefault="00213CDE" w:rsidP="00213CDE">
      <w:pPr>
        <w:pStyle w:val="a3"/>
        <w:shd w:val="clear" w:color="auto" w:fill="FFFFFF"/>
        <w:spacing w:before="60" w:beforeAutospacing="0" w:after="0" w:afterAutospacing="0" w:line="405" w:lineRule="atLeast"/>
        <w:ind w:firstLine="567"/>
        <w:jc w:val="both"/>
        <w:textAlignment w:val="baseline"/>
        <w:rPr>
          <w:color w:val="1D1D1B"/>
          <w:sz w:val="28"/>
          <w:szCs w:val="28"/>
        </w:rPr>
      </w:pPr>
      <w:r w:rsidRPr="00213CDE">
        <w:rPr>
          <w:color w:val="1D1D1B"/>
          <w:sz w:val="28"/>
          <w:szCs w:val="28"/>
          <w:bdr w:val="none" w:sz="0" w:space="0" w:color="auto" w:frame="1"/>
        </w:rPr>
        <w:t>Вибухонебезпечні об’єкти зберігання, утилізації та знищення боєприпасів усіх видів, вибухових речовин, ракет і ракетного палива</w:t>
      </w:r>
    </w:p>
    <w:p w:rsidR="00213CDE" w:rsidRPr="00213CDE" w:rsidRDefault="00213CDE" w:rsidP="00213CDE">
      <w:pPr>
        <w:pStyle w:val="a3"/>
        <w:shd w:val="clear" w:color="auto" w:fill="FFFFFF"/>
        <w:spacing w:before="60" w:beforeAutospacing="0" w:after="0" w:afterAutospacing="0" w:line="405" w:lineRule="atLeast"/>
        <w:ind w:firstLine="567"/>
        <w:jc w:val="both"/>
        <w:textAlignment w:val="baseline"/>
        <w:rPr>
          <w:color w:val="1D1D1B"/>
          <w:sz w:val="28"/>
          <w:szCs w:val="28"/>
        </w:rPr>
      </w:pPr>
      <w:r w:rsidRPr="00213CDE">
        <w:rPr>
          <w:color w:val="1D1D1B"/>
          <w:sz w:val="28"/>
          <w:szCs w:val="28"/>
          <w:bdr w:val="none" w:sz="0" w:space="0" w:color="auto" w:frame="1"/>
        </w:rPr>
        <w:t xml:space="preserve">Повітряні лінії електропередачі напругою більш як 110 кВ на ділянках зближення з вибухонебезпечними та </w:t>
      </w:r>
      <w:proofErr w:type="spellStart"/>
      <w:r w:rsidRPr="00213CDE">
        <w:rPr>
          <w:color w:val="1D1D1B"/>
          <w:sz w:val="28"/>
          <w:szCs w:val="28"/>
          <w:bdr w:val="none" w:sz="0" w:space="0" w:color="auto" w:frame="1"/>
        </w:rPr>
        <w:t>пожежовибухонебезпечними</w:t>
      </w:r>
      <w:proofErr w:type="spellEnd"/>
      <w:r w:rsidRPr="00213CDE">
        <w:rPr>
          <w:color w:val="1D1D1B"/>
          <w:sz w:val="28"/>
          <w:szCs w:val="28"/>
          <w:bdr w:val="none" w:sz="0" w:space="0" w:color="auto" w:frame="1"/>
        </w:rPr>
        <w:t xml:space="preserve"> установками</w:t>
      </w:r>
    </w:p>
    <w:p w:rsidR="00213CDE" w:rsidRPr="00213CDE" w:rsidRDefault="00213CDE" w:rsidP="00213CDE">
      <w:pPr>
        <w:pStyle w:val="a3"/>
        <w:shd w:val="clear" w:color="auto" w:fill="FFFFFF"/>
        <w:spacing w:before="60" w:beforeAutospacing="0" w:after="0" w:afterAutospacing="0" w:line="405" w:lineRule="atLeast"/>
        <w:ind w:firstLine="567"/>
        <w:jc w:val="both"/>
        <w:textAlignment w:val="baseline"/>
        <w:rPr>
          <w:color w:val="1D1D1B"/>
          <w:sz w:val="28"/>
          <w:szCs w:val="28"/>
        </w:rPr>
      </w:pPr>
      <w:r w:rsidRPr="00213CDE">
        <w:rPr>
          <w:color w:val="1D1D1B"/>
          <w:sz w:val="28"/>
          <w:szCs w:val="28"/>
          <w:bdr w:val="none" w:sz="0" w:space="0" w:color="auto" w:frame="1"/>
        </w:rPr>
        <w:t>Системи раннього виявлення надзвичайних ситуацій і оповіщення населення у разі їх виникнення на потенційно небезпечних об’єктах та об’єктах підвищеної небезпеки</w:t>
      </w:r>
    </w:p>
    <w:p w:rsidR="00213CDE" w:rsidRPr="00213CDE" w:rsidRDefault="00213CDE" w:rsidP="00213CDE">
      <w:pPr>
        <w:pStyle w:val="a3"/>
        <w:shd w:val="clear" w:color="auto" w:fill="FFFFFF"/>
        <w:spacing w:before="60" w:beforeAutospacing="0" w:after="0" w:afterAutospacing="0" w:line="405" w:lineRule="atLeast"/>
        <w:ind w:firstLine="567"/>
        <w:jc w:val="both"/>
        <w:textAlignment w:val="baseline"/>
        <w:rPr>
          <w:color w:val="1D1D1B"/>
          <w:sz w:val="28"/>
          <w:szCs w:val="28"/>
        </w:rPr>
      </w:pPr>
      <w:r w:rsidRPr="00213CDE">
        <w:rPr>
          <w:color w:val="1D1D1B"/>
          <w:sz w:val="28"/>
          <w:szCs w:val="28"/>
          <w:bdr w:val="none" w:sz="0" w:space="0" w:color="auto" w:frame="1"/>
        </w:rPr>
        <w:lastRenderedPageBreak/>
        <w:t>Гідроенергетичні, гідротехнічні споруди і гідроелектростанції; наземні об’єкти вугільної та гірничодобувної промисловості</w:t>
      </w:r>
    </w:p>
    <w:p w:rsidR="00213CDE" w:rsidRPr="00213CDE" w:rsidRDefault="00213CDE" w:rsidP="00213CDE">
      <w:pPr>
        <w:pStyle w:val="a3"/>
        <w:shd w:val="clear" w:color="auto" w:fill="FFFFFF"/>
        <w:spacing w:before="60" w:beforeAutospacing="0" w:after="0" w:afterAutospacing="0" w:line="405" w:lineRule="atLeast"/>
        <w:ind w:firstLine="567"/>
        <w:jc w:val="both"/>
        <w:textAlignment w:val="baseline"/>
        <w:rPr>
          <w:color w:val="1D1D1B"/>
          <w:sz w:val="28"/>
          <w:szCs w:val="28"/>
        </w:rPr>
      </w:pPr>
      <w:proofErr w:type="spellStart"/>
      <w:r w:rsidRPr="00213CDE">
        <w:rPr>
          <w:color w:val="1D1D1B"/>
          <w:sz w:val="28"/>
          <w:szCs w:val="28"/>
          <w:bdr w:val="none" w:sz="0" w:space="0" w:color="auto" w:frame="1"/>
        </w:rPr>
        <w:t>Радіаційно</w:t>
      </w:r>
      <w:proofErr w:type="spellEnd"/>
      <w:r w:rsidRPr="00213CDE">
        <w:rPr>
          <w:color w:val="1D1D1B"/>
          <w:sz w:val="28"/>
          <w:szCs w:val="28"/>
          <w:bdr w:val="none" w:sz="0" w:space="0" w:color="auto" w:frame="1"/>
        </w:rPr>
        <w:t xml:space="preserve"> небезпечні об’єкти — атомні електростанції, </w:t>
      </w:r>
      <w:proofErr w:type="spellStart"/>
      <w:r w:rsidRPr="00213CDE">
        <w:rPr>
          <w:color w:val="1D1D1B"/>
          <w:sz w:val="28"/>
          <w:szCs w:val="28"/>
          <w:bdr w:val="none" w:sz="0" w:space="0" w:color="auto" w:frame="1"/>
        </w:rPr>
        <w:t>уранодобувні</w:t>
      </w:r>
      <w:proofErr w:type="spellEnd"/>
      <w:r w:rsidRPr="00213CDE">
        <w:rPr>
          <w:color w:val="1D1D1B"/>
          <w:sz w:val="28"/>
          <w:szCs w:val="28"/>
          <w:bdr w:val="none" w:sz="0" w:space="0" w:color="auto" w:frame="1"/>
        </w:rPr>
        <w:t xml:space="preserve"> і переробні підприємства, пункти захоронення та зберігання радіоактивних відходів</w:t>
      </w:r>
    </w:p>
    <w:p w:rsidR="00213CDE" w:rsidRPr="00213CDE" w:rsidRDefault="00213CDE" w:rsidP="00213CDE">
      <w:pPr>
        <w:pStyle w:val="a3"/>
        <w:shd w:val="clear" w:color="auto" w:fill="FFFFFF"/>
        <w:spacing w:before="60" w:beforeAutospacing="0" w:after="0" w:afterAutospacing="0" w:line="405" w:lineRule="atLeast"/>
        <w:ind w:firstLine="567"/>
        <w:jc w:val="both"/>
        <w:textAlignment w:val="baseline"/>
        <w:rPr>
          <w:color w:val="1D1D1B"/>
          <w:sz w:val="28"/>
          <w:szCs w:val="28"/>
        </w:rPr>
      </w:pPr>
      <w:r w:rsidRPr="00213CDE">
        <w:rPr>
          <w:color w:val="1D1D1B"/>
          <w:sz w:val="28"/>
          <w:szCs w:val="28"/>
          <w:bdr w:val="none" w:sz="0" w:space="0" w:color="auto" w:frame="1"/>
        </w:rPr>
        <w:t>Будинки з висотністю понад 16 поверхів, крім житлових будинків, що споруджуються за проектами повторного застосування, умовною висотою до 73,5 метра.</w:t>
      </w:r>
    </w:p>
    <w:p w:rsidR="00856F04" w:rsidRPr="00213CDE" w:rsidRDefault="00856F04">
      <w:pPr>
        <w:rPr>
          <w:rFonts w:ascii="Times New Roman" w:hAnsi="Times New Roman" w:cs="Times New Roman"/>
          <w:sz w:val="28"/>
          <w:szCs w:val="28"/>
        </w:rPr>
      </w:pPr>
    </w:p>
    <w:sectPr w:rsidR="00856F04" w:rsidRPr="00213CDE" w:rsidSect="00213C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13CDE"/>
    <w:rsid w:val="00213CDE"/>
    <w:rsid w:val="00856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7">
    <w:name w:val="a7"/>
    <w:basedOn w:val="a"/>
    <w:rsid w:val="00213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3">
    <w:name w:val="a"/>
    <w:basedOn w:val="a"/>
    <w:rsid w:val="00213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8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1516</Words>
  <Characters>865</Characters>
  <Application>Microsoft Office Word</Application>
  <DocSecurity>0</DocSecurity>
  <Lines>7</Lines>
  <Paragraphs>4</Paragraphs>
  <ScaleCrop>false</ScaleCrop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</cp:revision>
  <dcterms:created xsi:type="dcterms:W3CDTF">2020-05-07T17:24:00Z</dcterms:created>
  <dcterms:modified xsi:type="dcterms:W3CDTF">2020-05-07T17:31:00Z</dcterms:modified>
</cp:coreProperties>
</file>